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87C" w:rsidRDefault="00EA7B56" w:rsidP="00EA7B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46545" cy="8597900"/>
            <wp:effectExtent l="0" t="0" r="0" b="0"/>
            <wp:docPr id="1" name="Рисунок 1" descr="Z:\ПРОГРАММЫ 2020 ГОДА\Маркова\ПЛ-21 (Операционная деятельность в логистике)\Сканы\Оздоровительная аэроб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здоровительная аэробик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859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48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837528" cy="8844954"/>
            <wp:effectExtent l="0" t="0" r="0" b="0"/>
            <wp:docPr id="2" name="Рисунок 2" descr="Z:\ПРОГРАММЫ 2020 ГОДА\Маркова\ПЛ-21 (Операционная деятельность в логистике)\Сканы\Оздоровительная аэробика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Оздоровительная аэробика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615" cy="884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925C1" w:rsidRPr="008041A9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:rsidR="008041A9" w:rsidRDefault="008041A9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.В.ДВ.01.03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A6664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Атлетическая гимнастика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4315E8" w:rsidRDefault="00A6664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Спортивные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B54FDF" w:rsidRPr="004315E8" w:rsidRDefault="00B54FD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28" w:type="pct"/>
        <w:tblLayout w:type="fixed"/>
        <w:tblLook w:val="0000" w:firstRow="0" w:lastRow="0" w:firstColumn="0" w:lastColumn="0" w:noHBand="0" w:noVBand="0"/>
      </w:tblPr>
      <w:tblGrid>
        <w:gridCol w:w="2355"/>
        <w:gridCol w:w="4036"/>
        <w:gridCol w:w="1369"/>
        <w:gridCol w:w="2768"/>
      </w:tblGrid>
      <w:tr w:rsidR="00171EE1" w:rsidRPr="004315E8" w:rsidTr="00171EE1">
        <w:trPr>
          <w:trHeight w:val="35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171EE1" w:rsidRPr="004315E8" w:rsidTr="00171EE1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171EE1" w:rsidRPr="004315E8" w:rsidTr="00171EE1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48"/>
        <w:gridCol w:w="923"/>
        <w:gridCol w:w="921"/>
        <w:gridCol w:w="1537"/>
        <w:gridCol w:w="1341"/>
        <w:gridCol w:w="1279"/>
      </w:tblGrid>
      <w:tr w:rsidR="00DF1F2E" w:rsidRPr="00153EB5" w:rsidTr="003C246C">
        <w:trPr>
          <w:trHeight w:val="203"/>
        </w:trPr>
        <w:tc>
          <w:tcPr>
            <w:tcW w:w="4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:rsidTr="003C246C">
        <w:trPr>
          <w:trHeight w:val="533"/>
        </w:trPr>
        <w:tc>
          <w:tcPr>
            <w:tcW w:w="44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3C246C">
        <w:trPr>
          <w:trHeight w:val="1"/>
        </w:trPr>
        <w:tc>
          <w:tcPr>
            <w:tcW w:w="4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1375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видов аэробики. Характеристика различных видов оздоровительной аэробики. </w:t>
            </w:r>
            <w:proofErr w:type="gram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</w:t>
            </w:r>
            <w:r w:rsidR="00A666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раткая характеристика.</w:t>
            </w:r>
            <w:proofErr w:type="gramEnd"/>
          </w:p>
          <w:p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B54FDF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:rsidTr="00137585">
        <w:trPr>
          <w:trHeight w:val="259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 шагов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степ» и «А-степ» и их разновидности; шаги «Шасси» ,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Техника выполнения шагов аэробики со </w:t>
            </w:r>
            <w:proofErr w:type="gramStart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степ-платформами</w:t>
            </w:r>
            <w:proofErr w:type="gramEnd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</w:t>
            </w:r>
            <w:proofErr w:type="gram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степ-платформами</w:t>
            </w:r>
            <w:proofErr w:type="gramEnd"/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3758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ED2" w:rsidRPr="00137585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3C246C" w:rsidRDefault="003C246C" w:rsidP="003C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C246C" w:rsidRDefault="003C246C" w:rsidP="003C2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3C246C" w:rsidRDefault="003C246C" w:rsidP="003C2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171EE1" w:rsidRDefault="00171EE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EE1" w:rsidRDefault="00171EE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71EE1" w:rsidRPr="00171EE1" w:rsidTr="003D1F5C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71EE1" w:rsidRPr="00171EE1" w:rsidTr="003D1F5C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Раздел 4. Техника выполнения шагов аэробики со </w:t>
            </w:r>
            <w:proofErr w:type="gramStart"/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степ-платформами</w:t>
            </w:r>
            <w:proofErr w:type="gramEnd"/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2E7337" w:rsidRDefault="002E7337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11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1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3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2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3.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5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4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A66642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7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eLiBRARy.ru Научная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электронная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библиотека LiBRARy.ru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баскетбола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волейбола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плавания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легкой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атлетики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футбола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EA7B56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журнал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gramStart"/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Адаптивная</w:t>
      </w:r>
      <w:proofErr w:type="gramEnd"/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физическая </w:t>
      </w:r>
    </w:p>
    <w:p w:rsid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lang w:eastAsia="ru-RU"/>
        </w:rPr>
        <w:t xml:space="preserve">9. Материально-техническое обеспечение образовательного процесса по дисциплине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9.1. Описание материально-технической базы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Технические средства обучения: аудио и видео аппаратура, орг.- и мультимедийная техника.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Moodle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MSExcel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C8654A" w:rsidRDefault="00DB597C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081070">
      <w:footerReference w:type="default" r:id="rId24"/>
      <w:footerReference w:type="first" r:id="rId25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78C" w:rsidRDefault="0024578C" w:rsidP="00CA7167">
      <w:pPr>
        <w:spacing w:after="0" w:line="240" w:lineRule="auto"/>
      </w:pPr>
      <w:r>
        <w:separator/>
      </w:r>
    </w:p>
  </w:endnote>
  <w:endnote w:type="continuationSeparator" w:id="0">
    <w:p w:rsidR="0024578C" w:rsidRDefault="0024578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78C" w:rsidRDefault="0024578C" w:rsidP="00CA7167">
      <w:pPr>
        <w:spacing w:after="0" w:line="240" w:lineRule="auto"/>
      </w:pPr>
      <w:r>
        <w:separator/>
      </w:r>
    </w:p>
  </w:footnote>
  <w:footnote w:type="continuationSeparator" w:id="0">
    <w:p w:rsidR="0024578C" w:rsidRDefault="0024578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D4F19"/>
    <w:rsid w:val="000E26C3"/>
    <w:rsid w:val="000F359C"/>
    <w:rsid w:val="000F605D"/>
    <w:rsid w:val="001017E7"/>
    <w:rsid w:val="00137585"/>
    <w:rsid w:val="001444E1"/>
    <w:rsid w:val="0014613F"/>
    <w:rsid w:val="00171EE1"/>
    <w:rsid w:val="001869AC"/>
    <w:rsid w:val="00186A21"/>
    <w:rsid w:val="001A3634"/>
    <w:rsid w:val="001B2564"/>
    <w:rsid w:val="001C4F99"/>
    <w:rsid w:val="001F37E8"/>
    <w:rsid w:val="002003FF"/>
    <w:rsid w:val="002154A5"/>
    <w:rsid w:val="0022609C"/>
    <w:rsid w:val="00242947"/>
    <w:rsid w:val="0024578C"/>
    <w:rsid w:val="002508F5"/>
    <w:rsid w:val="00264358"/>
    <w:rsid w:val="00283884"/>
    <w:rsid w:val="002861AF"/>
    <w:rsid w:val="0029039B"/>
    <w:rsid w:val="002A0B87"/>
    <w:rsid w:val="002B0124"/>
    <w:rsid w:val="002C330B"/>
    <w:rsid w:val="002C4515"/>
    <w:rsid w:val="002C4E8B"/>
    <w:rsid w:val="002D299C"/>
    <w:rsid w:val="002E69A6"/>
    <w:rsid w:val="002E7337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246C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5559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41A9"/>
    <w:rsid w:val="00805DCE"/>
    <w:rsid w:val="00807C52"/>
    <w:rsid w:val="00823A45"/>
    <w:rsid w:val="00832081"/>
    <w:rsid w:val="00833FC2"/>
    <w:rsid w:val="00834163"/>
    <w:rsid w:val="008403B1"/>
    <w:rsid w:val="0084751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648F"/>
    <w:rsid w:val="00A572B2"/>
    <w:rsid w:val="00A6664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13D17"/>
    <w:rsid w:val="00B30DB9"/>
    <w:rsid w:val="00B353BD"/>
    <w:rsid w:val="00B36731"/>
    <w:rsid w:val="00B45F98"/>
    <w:rsid w:val="00B51BCF"/>
    <w:rsid w:val="00B54FDF"/>
    <w:rsid w:val="00B5595E"/>
    <w:rsid w:val="00B72C60"/>
    <w:rsid w:val="00B74E70"/>
    <w:rsid w:val="00B8111B"/>
    <w:rsid w:val="00B86D85"/>
    <w:rsid w:val="00BB1488"/>
    <w:rsid w:val="00BF0346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DF3262"/>
    <w:rsid w:val="00E06916"/>
    <w:rsid w:val="00E112E2"/>
    <w:rsid w:val="00E124C4"/>
    <w:rsid w:val="00E1487C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A7B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36CE"/>
    <w:rsid w:val="00F64DE1"/>
    <w:rsid w:val="00F660A8"/>
    <w:rsid w:val="00F67CFB"/>
    <w:rsid w:val="00F74C29"/>
    <w:rsid w:val="00F75CE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576/41576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63939" TargetMode="External"/><Relationship Id="rId17" Type="http://schemas.openxmlformats.org/officeDocument/2006/relationships/hyperlink" Target="http://window.edu.ru/resource/194/6519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756/25756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5389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913/58913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volle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.ru/resource/343/58343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22098-5CF8-448D-9AF5-5894FE02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2019-10-10T14:40:00Z</cp:lastPrinted>
  <dcterms:created xsi:type="dcterms:W3CDTF">2019-09-01T15:53:00Z</dcterms:created>
  <dcterms:modified xsi:type="dcterms:W3CDTF">2020-12-25T11:05:00Z</dcterms:modified>
</cp:coreProperties>
</file>